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8F84E5" w14:textId="77777777" w:rsidR="008C4FC8" w:rsidRPr="00340256" w:rsidRDefault="008C4FC8" w:rsidP="008C4FC8">
      <w:pPr>
        <w:pStyle w:val="DocumentTitle"/>
        <w:spacing w:after="0" w:line="276" w:lineRule="auto"/>
        <w:rPr>
          <w:color w:val="000000" w:themeColor="text1"/>
          <w:sz w:val="21"/>
          <w:szCs w:val="21"/>
          <w:lang w:val="tr-TR"/>
        </w:rPr>
      </w:pPr>
      <w:bookmarkStart w:id="0" w:name="_GoBack"/>
      <w:bookmarkEnd w:id="0"/>
      <w:r w:rsidRPr="00340256">
        <w:rPr>
          <w:color w:val="000000" w:themeColor="text1"/>
          <w:sz w:val="21"/>
          <w:szCs w:val="21"/>
          <w:lang w:val="tr-TR"/>
        </w:rPr>
        <w:t xml:space="preserve">GİZLİ BİLGİLERE ve kişisel verilerin korunmasına </w:t>
      </w:r>
    </w:p>
    <w:p w14:paraId="6CEA07E0" w14:textId="77777777" w:rsidR="008C4FC8" w:rsidRPr="00340256" w:rsidRDefault="008C4FC8" w:rsidP="008C4FC8">
      <w:pPr>
        <w:pStyle w:val="DocumentTitle"/>
        <w:spacing w:after="0" w:line="276" w:lineRule="auto"/>
        <w:rPr>
          <w:color w:val="000000" w:themeColor="text1"/>
          <w:sz w:val="21"/>
          <w:szCs w:val="21"/>
          <w:lang w:val="tr-TR"/>
        </w:rPr>
      </w:pPr>
      <w:r w:rsidRPr="00340256">
        <w:rPr>
          <w:color w:val="000000" w:themeColor="text1"/>
          <w:sz w:val="21"/>
          <w:szCs w:val="21"/>
          <w:lang w:val="tr-TR"/>
        </w:rPr>
        <w:t>İLİŞKİN TAAHHÜTNAME</w:t>
      </w:r>
    </w:p>
    <w:p w14:paraId="693D0F8A" w14:textId="77777777" w:rsidR="008C4FC8" w:rsidRPr="00340256" w:rsidRDefault="008C4FC8" w:rsidP="008C4FC8">
      <w:pPr>
        <w:pStyle w:val="GvdeMetni"/>
        <w:spacing w:after="0" w:line="276" w:lineRule="auto"/>
        <w:ind w:firstLine="0"/>
        <w:rPr>
          <w:bCs/>
          <w:color w:val="000000" w:themeColor="text1"/>
          <w:sz w:val="21"/>
          <w:szCs w:val="21"/>
          <w:lang w:val="tr-TR"/>
        </w:rPr>
      </w:pPr>
    </w:p>
    <w:p w14:paraId="668A0203" w14:textId="4468EAE1" w:rsidR="008C4FC8" w:rsidRPr="00340256" w:rsidRDefault="008C4FC8" w:rsidP="008C4FC8">
      <w:pPr>
        <w:pStyle w:val="GvdeMetni"/>
        <w:spacing w:after="0" w:line="276" w:lineRule="auto"/>
        <w:ind w:firstLine="0"/>
        <w:rPr>
          <w:color w:val="000000" w:themeColor="text1"/>
          <w:sz w:val="21"/>
          <w:szCs w:val="21"/>
          <w:lang w:val="tr-TR"/>
        </w:rPr>
      </w:pPr>
      <w:r w:rsidRPr="00340256">
        <w:rPr>
          <w:bCs/>
          <w:color w:val="000000" w:themeColor="text1"/>
          <w:sz w:val="21"/>
          <w:szCs w:val="21"/>
          <w:lang w:val="tr-TR"/>
        </w:rPr>
        <w:t xml:space="preserve">İşbu </w:t>
      </w:r>
      <w:r w:rsidR="00CB26C7">
        <w:rPr>
          <w:bCs/>
          <w:color w:val="000000" w:themeColor="text1"/>
          <w:sz w:val="21"/>
          <w:szCs w:val="21"/>
          <w:lang w:val="tr-TR"/>
        </w:rPr>
        <w:t>T</w:t>
      </w:r>
      <w:r w:rsidRPr="00340256">
        <w:rPr>
          <w:bCs/>
          <w:color w:val="000000" w:themeColor="text1"/>
          <w:sz w:val="21"/>
          <w:szCs w:val="21"/>
          <w:lang w:val="tr-TR"/>
        </w:rPr>
        <w:t>aahhütname</w:t>
      </w:r>
      <w:r>
        <w:rPr>
          <w:bCs/>
          <w:color w:val="000000" w:themeColor="text1"/>
          <w:sz w:val="21"/>
          <w:szCs w:val="21"/>
          <w:lang w:val="tr-TR"/>
        </w:rPr>
        <w:t>,</w:t>
      </w:r>
      <w:r w:rsidRPr="00340256">
        <w:rPr>
          <w:b/>
          <w:color w:val="000000" w:themeColor="text1"/>
          <w:sz w:val="21"/>
          <w:szCs w:val="21"/>
          <w:lang w:val="tr-TR"/>
        </w:rPr>
        <w:t xml:space="preserve"> </w:t>
      </w:r>
      <w:r w:rsidRPr="00340256">
        <w:rPr>
          <w:color w:val="000000"/>
          <w:sz w:val="21"/>
          <w:szCs w:val="21"/>
        </w:rPr>
        <w:t xml:space="preserve">5. </w:t>
      </w:r>
      <w:proofErr w:type="spellStart"/>
      <w:r w:rsidRPr="00340256">
        <w:rPr>
          <w:color w:val="000000"/>
          <w:sz w:val="21"/>
          <w:szCs w:val="21"/>
        </w:rPr>
        <w:t>Gazeteciler</w:t>
      </w:r>
      <w:proofErr w:type="spellEnd"/>
      <w:r w:rsidRPr="00340256">
        <w:rPr>
          <w:color w:val="000000"/>
          <w:sz w:val="21"/>
          <w:szCs w:val="21"/>
        </w:rPr>
        <w:t xml:space="preserve"> </w:t>
      </w:r>
      <w:proofErr w:type="spellStart"/>
      <w:r w:rsidRPr="00340256">
        <w:rPr>
          <w:color w:val="000000"/>
          <w:sz w:val="21"/>
          <w:szCs w:val="21"/>
        </w:rPr>
        <w:t>Sitesi</w:t>
      </w:r>
      <w:proofErr w:type="spellEnd"/>
      <w:r w:rsidRPr="00340256">
        <w:rPr>
          <w:color w:val="000000"/>
          <w:sz w:val="21"/>
          <w:szCs w:val="21"/>
        </w:rPr>
        <w:t xml:space="preserve">, </w:t>
      </w:r>
      <w:proofErr w:type="spellStart"/>
      <w:r w:rsidRPr="00340256">
        <w:rPr>
          <w:color w:val="000000"/>
          <w:sz w:val="21"/>
          <w:szCs w:val="21"/>
        </w:rPr>
        <w:t>Akat</w:t>
      </w:r>
      <w:proofErr w:type="spellEnd"/>
      <w:r w:rsidRPr="00340256">
        <w:rPr>
          <w:color w:val="000000"/>
          <w:sz w:val="21"/>
          <w:szCs w:val="21"/>
        </w:rPr>
        <w:t xml:space="preserve"> </w:t>
      </w:r>
      <w:proofErr w:type="spellStart"/>
      <w:r w:rsidRPr="00340256">
        <w:rPr>
          <w:color w:val="000000"/>
          <w:sz w:val="21"/>
          <w:szCs w:val="21"/>
        </w:rPr>
        <w:t>Mah</w:t>
      </w:r>
      <w:proofErr w:type="spellEnd"/>
      <w:r w:rsidRPr="00340256">
        <w:rPr>
          <w:color w:val="000000"/>
          <w:sz w:val="21"/>
          <w:szCs w:val="21"/>
        </w:rPr>
        <w:t xml:space="preserve">., </w:t>
      </w:r>
      <w:proofErr w:type="spellStart"/>
      <w:r w:rsidRPr="00340256">
        <w:rPr>
          <w:color w:val="000000"/>
          <w:sz w:val="21"/>
          <w:szCs w:val="21"/>
        </w:rPr>
        <w:t>Lavanta</w:t>
      </w:r>
      <w:proofErr w:type="spellEnd"/>
      <w:r w:rsidRPr="00340256">
        <w:rPr>
          <w:color w:val="000000"/>
          <w:sz w:val="21"/>
          <w:szCs w:val="21"/>
        </w:rPr>
        <w:t xml:space="preserve"> </w:t>
      </w:r>
      <w:proofErr w:type="spellStart"/>
      <w:r w:rsidRPr="00340256">
        <w:rPr>
          <w:color w:val="000000"/>
          <w:sz w:val="21"/>
          <w:szCs w:val="21"/>
        </w:rPr>
        <w:t>Sokak</w:t>
      </w:r>
      <w:proofErr w:type="spellEnd"/>
      <w:r w:rsidRPr="00340256">
        <w:rPr>
          <w:color w:val="000000"/>
          <w:sz w:val="21"/>
          <w:szCs w:val="21"/>
        </w:rPr>
        <w:t xml:space="preserve">, No:10, </w:t>
      </w:r>
      <w:proofErr w:type="spellStart"/>
      <w:r w:rsidRPr="00340256">
        <w:rPr>
          <w:color w:val="000000"/>
          <w:sz w:val="21"/>
          <w:szCs w:val="21"/>
        </w:rPr>
        <w:t>Beşiktaş</w:t>
      </w:r>
      <w:proofErr w:type="spellEnd"/>
      <w:r w:rsidRPr="00340256">
        <w:rPr>
          <w:color w:val="000000"/>
          <w:sz w:val="21"/>
          <w:szCs w:val="21"/>
        </w:rPr>
        <w:t>, İstanbul</w:t>
      </w:r>
      <w:r w:rsidRPr="00340256">
        <w:rPr>
          <w:color w:val="000000" w:themeColor="text1"/>
          <w:sz w:val="21"/>
          <w:szCs w:val="21"/>
          <w:lang w:val="tr-TR"/>
        </w:rPr>
        <w:t xml:space="preserve"> adresinde mukim Bir Dilek Tut Derneği </w:t>
      </w:r>
      <w:r w:rsidRPr="00340256">
        <w:rPr>
          <w:bCs/>
          <w:color w:val="000000" w:themeColor="text1"/>
          <w:sz w:val="21"/>
          <w:szCs w:val="21"/>
          <w:lang w:val="tr-TR"/>
        </w:rPr>
        <w:t>(“</w:t>
      </w:r>
      <w:r w:rsidRPr="00340256">
        <w:rPr>
          <w:b/>
          <w:color w:val="000000" w:themeColor="text1"/>
          <w:sz w:val="21"/>
          <w:szCs w:val="21"/>
          <w:lang w:val="tr-TR"/>
        </w:rPr>
        <w:t>Şirket</w:t>
      </w:r>
      <w:r w:rsidRPr="00340256">
        <w:rPr>
          <w:bCs/>
          <w:color w:val="000000" w:themeColor="text1"/>
          <w:sz w:val="21"/>
          <w:szCs w:val="21"/>
          <w:lang w:val="tr-TR"/>
        </w:rPr>
        <w:t>”)</w:t>
      </w:r>
      <w:r w:rsidRPr="00340256">
        <w:rPr>
          <w:color w:val="000000" w:themeColor="text1"/>
          <w:sz w:val="21"/>
          <w:szCs w:val="21"/>
          <w:lang w:val="tr-TR"/>
        </w:rPr>
        <w:t xml:space="preserve"> tarafından </w:t>
      </w:r>
      <w:r>
        <w:rPr>
          <w:color w:val="000000" w:themeColor="text1"/>
          <w:sz w:val="21"/>
          <w:szCs w:val="21"/>
          <w:lang w:val="tr-TR"/>
        </w:rPr>
        <w:t>gönüllü olarak görevlendirilen</w:t>
      </w:r>
      <w:r w:rsidRPr="00340256">
        <w:rPr>
          <w:color w:val="000000" w:themeColor="text1"/>
          <w:sz w:val="21"/>
          <w:szCs w:val="21"/>
          <w:lang w:val="tr-TR"/>
        </w:rPr>
        <w:t xml:space="preserve"> ve bilgileri aşağıda yer alan </w:t>
      </w:r>
      <w:r>
        <w:rPr>
          <w:bCs/>
          <w:color w:val="000000" w:themeColor="text1"/>
          <w:sz w:val="21"/>
          <w:szCs w:val="21"/>
          <w:lang w:val="tr-TR"/>
        </w:rPr>
        <w:t>gönüllü</w:t>
      </w:r>
      <w:r w:rsidR="004039BB">
        <w:rPr>
          <w:bCs/>
          <w:color w:val="000000" w:themeColor="text1"/>
          <w:sz w:val="21"/>
          <w:szCs w:val="21"/>
          <w:lang w:val="tr-TR"/>
        </w:rPr>
        <w:t xml:space="preserve"> </w:t>
      </w:r>
      <w:r w:rsidRPr="00340256">
        <w:rPr>
          <w:bCs/>
          <w:color w:val="000000" w:themeColor="text1"/>
          <w:sz w:val="21"/>
          <w:szCs w:val="21"/>
          <w:lang w:val="tr-TR"/>
        </w:rPr>
        <w:t>(“</w:t>
      </w:r>
      <w:r>
        <w:rPr>
          <w:b/>
          <w:color w:val="000000" w:themeColor="text1"/>
          <w:sz w:val="21"/>
          <w:szCs w:val="21"/>
          <w:lang w:val="tr-TR"/>
        </w:rPr>
        <w:t>Gönüllü</w:t>
      </w:r>
      <w:r w:rsidRPr="00340256">
        <w:rPr>
          <w:bCs/>
          <w:color w:val="000000" w:themeColor="text1"/>
          <w:sz w:val="21"/>
          <w:szCs w:val="21"/>
          <w:lang w:val="tr-TR"/>
        </w:rPr>
        <w:t>”)</w:t>
      </w:r>
      <w:r w:rsidRPr="00340256">
        <w:rPr>
          <w:color w:val="000000" w:themeColor="text1"/>
          <w:sz w:val="21"/>
          <w:szCs w:val="21"/>
          <w:lang w:val="tr-TR"/>
        </w:rPr>
        <w:t xml:space="preserve"> tarafından imzalanmış olmakla, </w:t>
      </w:r>
      <w:proofErr w:type="spellStart"/>
      <w:r>
        <w:rPr>
          <w:color w:val="000000" w:themeColor="text1"/>
          <w:sz w:val="21"/>
          <w:szCs w:val="21"/>
          <w:lang w:val="tr-TR"/>
        </w:rPr>
        <w:t>Gönüllü’ye</w:t>
      </w:r>
      <w:proofErr w:type="spellEnd"/>
      <w:r w:rsidRPr="00340256">
        <w:rPr>
          <w:color w:val="000000" w:themeColor="text1"/>
          <w:sz w:val="21"/>
          <w:szCs w:val="21"/>
          <w:lang w:val="tr-TR"/>
        </w:rPr>
        <w:t xml:space="preserve"> yapacağı işin gereği olarak Şirket’e, Şirket’in diğer çalışanlarına </w:t>
      </w:r>
      <w:r>
        <w:rPr>
          <w:color w:val="000000" w:themeColor="text1"/>
          <w:sz w:val="21"/>
          <w:szCs w:val="21"/>
          <w:lang w:val="tr-TR"/>
        </w:rPr>
        <w:t xml:space="preserve">ve gönüllülerine </w:t>
      </w:r>
      <w:r w:rsidRPr="00340256">
        <w:rPr>
          <w:bCs/>
          <w:sz w:val="21"/>
          <w:szCs w:val="21"/>
          <w:lang w:val="tr-TR"/>
        </w:rPr>
        <w:t xml:space="preserve">veya Şirket’in </w:t>
      </w:r>
      <w:r w:rsidRPr="00340256">
        <w:rPr>
          <w:color w:val="000000" w:themeColor="text1"/>
          <w:sz w:val="21"/>
          <w:szCs w:val="21"/>
          <w:lang w:val="tr-TR"/>
        </w:rPr>
        <w:t>müşterilerine ait 6698 Sayılı Kişisel Verilerin Korunması Hakkında Kanun (“</w:t>
      </w:r>
      <w:r w:rsidRPr="00340256">
        <w:rPr>
          <w:b/>
          <w:bCs/>
          <w:color w:val="000000" w:themeColor="text1"/>
          <w:sz w:val="21"/>
          <w:szCs w:val="21"/>
          <w:lang w:val="tr-TR"/>
        </w:rPr>
        <w:t>Kanun”</w:t>
      </w:r>
      <w:r w:rsidRPr="00340256">
        <w:rPr>
          <w:color w:val="000000" w:themeColor="text1"/>
          <w:sz w:val="21"/>
          <w:szCs w:val="21"/>
          <w:lang w:val="tr-TR"/>
        </w:rPr>
        <w:t xml:space="preserve">) kapsamında kişisel veri </w:t>
      </w:r>
      <w:r w:rsidRPr="00340256">
        <w:rPr>
          <w:b/>
          <w:bCs/>
          <w:color w:val="000000" w:themeColor="text1"/>
          <w:sz w:val="21"/>
          <w:szCs w:val="21"/>
          <w:lang w:val="tr-TR"/>
        </w:rPr>
        <w:t>(“Kişisel Veri”)</w:t>
      </w:r>
      <w:r w:rsidRPr="00340256">
        <w:rPr>
          <w:color w:val="000000" w:themeColor="text1"/>
          <w:sz w:val="21"/>
          <w:szCs w:val="21"/>
          <w:lang w:val="tr-TR"/>
        </w:rPr>
        <w:t xml:space="preserve"> olarak kabul edilen bilgilere ve diğer gizli bilgilere  erişim imkanı sağlanmış olup, </w:t>
      </w:r>
      <w:r>
        <w:rPr>
          <w:color w:val="000000" w:themeColor="text1"/>
          <w:sz w:val="21"/>
          <w:szCs w:val="21"/>
          <w:lang w:val="tr-TR"/>
        </w:rPr>
        <w:t>Gönüllü</w:t>
      </w:r>
      <w:r w:rsidRPr="00340256">
        <w:rPr>
          <w:color w:val="000000" w:themeColor="text1"/>
          <w:sz w:val="21"/>
          <w:szCs w:val="21"/>
          <w:lang w:val="tr-TR"/>
        </w:rPr>
        <w:t xml:space="preserve"> aşağıda düzenlenen hususların kendisi için hukuken bağlayıcı olacağını ve hüküm ifade edeceğini kabul ve taahhüt eder.</w:t>
      </w:r>
    </w:p>
    <w:p w14:paraId="577C27F9" w14:textId="77777777" w:rsidR="008C4FC8" w:rsidRPr="00340256" w:rsidRDefault="008C4FC8" w:rsidP="008C4FC8">
      <w:pPr>
        <w:pStyle w:val="GvdeMetni"/>
        <w:spacing w:after="0" w:line="276" w:lineRule="auto"/>
        <w:ind w:firstLine="0"/>
        <w:rPr>
          <w:color w:val="000000" w:themeColor="text1"/>
          <w:sz w:val="21"/>
          <w:szCs w:val="21"/>
          <w:lang w:val="tr-TR"/>
        </w:rPr>
      </w:pPr>
    </w:p>
    <w:p w14:paraId="51165119" w14:textId="77777777" w:rsidR="008C4FC8" w:rsidRPr="00340256" w:rsidRDefault="008C4FC8" w:rsidP="008C4FC8">
      <w:pPr>
        <w:pStyle w:val="ListeParagraf"/>
        <w:numPr>
          <w:ilvl w:val="0"/>
          <w:numId w:val="2"/>
        </w:numPr>
        <w:spacing w:line="276" w:lineRule="auto"/>
        <w:ind w:left="284" w:hanging="284"/>
        <w:rPr>
          <w:b/>
          <w:color w:val="000000" w:themeColor="text1"/>
          <w:sz w:val="21"/>
          <w:szCs w:val="21"/>
          <w:lang w:val="tr-TR"/>
        </w:rPr>
      </w:pPr>
      <w:r w:rsidRPr="00340256">
        <w:rPr>
          <w:b/>
          <w:color w:val="000000" w:themeColor="text1"/>
          <w:sz w:val="21"/>
          <w:szCs w:val="21"/>
          <w:lang w:val="tr-TR"/>
        </w:rPr>
        <w:t>Gizli Bilginin Kullanımına ve İfşasına ilişkin Sınırlamalar</w:t>
      </w:r>
    </w:p>
    <w:p w14:paraId="60321D86" w14:textId="5910DAA1" w:rsidR="008C4FC8" w:rsidRPr="00340256" w:rsidRDefault="008C4FC8" w:rsidP="008C4FC8">
      <w:pPr>
        <w:pStyle w:val="ListeParagraf"/>
        <w:spacing w:line="276" w:lineRule="auto"/>
        <w:ind w:left="284"/>
        <w:jc w:val="both"/>
        <w:rPr>
          <w:color w:val="000000" w:themeColor="text1"/>
          <w:sz w:val="21"/>
          <w:szCs w:val="21"/>
          <w:lang w:val="tr-TR"/>
        </w:rPr>
      </w:pPr>
      <w:r>
        <w:rPr>
          <w:color w:val="000000" w:themeColor="text1"/>
          <w:sz w:val="21"/>
          <w:szCs w:val="21"/>
          <w:lang w:val="tr-TR"/>
        </w:rPr>
        <w:t>Gönüllü</w:t>
      </w:r>
      <w:r w:rsidRPr="00340256">
        <w:rPr>
          <w:color w:val="000000" w:themeColor="text1"/>
          <w:sz w:val="21"/>
          <w:szCs w:val="21"/>
          <w:lang w:val="tr-TR"/>
        </w:rPr>
        <w:t>, kendisi ile paylaşılmış olan Şirket’e, Şirket’in diğer çalışanlarına</w:t>
      </w:r>
      <w:r>
        <w:rPr>
          <w:color w:val="000000" w:themeColor="text1"/>
          <w:sz w:val="21"/>
          <w:szCs w:val="21"/>
          <w:lang w:val="tr-TR"/>
        </w:rPr>
        <w:t>, gönüllülerine</w:t>
      </w:r>
      <w:r w:rsidRPr="00340256">
        <w:rPr>
          <w:color w:val="000000" w:themeColor="text1"/>
          <w:sz w:val="21"/>
          <w:szCs w:val="21"/>
          <w:lang w:val="tr-TR"/>
        </w:rPr>
        <w:t xml:space="preserve"> ve bunların müşterilerine ait Kişisel Veriler ve Gizli </w:t>
      </w:r>
      <w:proofErr w:type="spellStart"/>
      <w:r w:rsidRPr="00340256">
        <w:rPr>
          <w:color w:val="000000" w:themeColor="text1"/>
          <w:sz w:val="21"/>
          <w:szCs w:val="21"/>
          <w:lang w:val="tr-TR"/>
        </w:rPr>
        <w:t>Bilgiler’in</w:t>
      </w:r>
      <w:proofErr w:type="spellEnd"/>
      <w:r w:rsidRPr="00340256">
        <w:rPr>
          <w:color w:val="000000" w:themeColor="text1"/>
          <w:sz w:val="21"/>
          <w:szCs w:val="21"/>
          <w:lang w:val="tr-TR"/>
        </w:rPr>
        <w:t xml:space="preserve"> korunması için gerekli tüm tedbirleri almakla yükümlüdür. </w:t>
      </w:r>
      <w:proofErr w:type="spellStart"/>
      <w:r>
        <w:rPr>
          <w:color w:val="000000" w:themeColor="text1"/>
          <w:sz w:val="21"/>
          <w:szCs w:val="21"/>
          <w:lang w:val="tr-TR"/>
        </w:rPr>
        <w:t>Gönüllü’nün</w:t>
      </w:r>
      <w:proofErr w:type="spellEnd"/>
      <w:r w:rsidRPr="00340256">
        <w:rPr>
          <w:color w:val="000000" w:themeColor="text1"/>
          <w:sz w:val="21"/>
          <w:szCs w:val="21"/>
          <w:lang w:val="tr-TR"/>
        </w:rPr>
        <w:t xml:space="preserve"> Kişisel Veri ve Gizli Bilgi’yi ifşa etmesine ancak yerine getirmekle yükümlü olduğu iş veya projelerin gerçekleştirilmesi için Kişisel Veri ve Gizli Bilgi’ye sahip olması gereken diğer bir çalışan </w:t>
      </w:r>
      <w:r>
        <w:rPr>
          <w:color w:val="000000" w:themeColor="text1"/>
          <w:sz w:val="21"/>
          <w:szCs w:val="21"/>
          <w:lang w:val="tr-TR"/>
        </w:rPr>
        <w:t xml:space="preserve">ve/veya gönüllü </w:t>
      </w:r>
      <w:r w:rsidRPr="00340256">
        <w:rPr>
          <w:color w:val="000000" w:themeColor="text1"/>
          <w:sz w:val="21"/>
          <w:szCs w:val="21"/>
          <w:lang w:val="tr-TR"/>
        </w:rPr>
        <w:t xml:space="preserve">ile paylaşılması halinde izin verilecektir. </w:t>
      </w:r>
      <w:r>
        <w:rPr>
          <w:color w:val="000000" w:themeColor="text1"/>
          <w:sz w:val="21"/>
          <w:szCs w:val="21"/>
          <w:lang w:val="tr-TR"/>
        </w:rPr>
        <w:t>Gönüllü</w:t>
      </w:r>
      <w:r w:rsidRPr="00340256">
        <w:rPr>
          <w:color w:val="000000" w:themeColor="text1"/>
          <w:sz w:val="21"/>
          <w:szCs w:val="21"/>
          <w:lang w:val="tr-TR"/>
        </w:rPr>
        <w:t>, Kişisel Veri ve Gizli Bilgi’yi muhafaza etmeyi ve ancak Şirket’in onay verdiği ölçüde diğer çalışanlar,</w:t>
      </w:r>
      <w:r>
        <w:rPr>
          <w:color w:val="000000" w:themeColor="text1"/>
          <w:sz w:val="21"/>
          <w:szCs w:val="21"/>
          <w:lang w:val="tr-TR"/>
        </w:rPr>
        <w:t xml:space="preserve"> gönüllüler,</w:t>
      </w:r>
      <w:r w:rsidRPr="00340256">
        <w:rPr>
          <w:color w:val="000000" w:themeColor="text1"/>
          <w:sz w:val="21"/>
          <w:szCs w:val="21"/>
          <w:lang w:val="tr-TR"/>
        </w:rPr>
        <w:t xml:space="preserve"> müşteriler, tedarikçiler ve üçüncü taraflar ile paylaşmayı kabul beyan ve taahhüt eder. </w:t>
      </w:r>
      <w:r>
        <w:rPr>
          <w:color w:val="000000" w:themeColor="text1"/>
          <w:sz w:val="21"/>
          <w:szCs w:val="21"/>
          <w:lang w:val="tr-TR"/>
        </w:rPr>
        <w:t>Gönüllü</w:t>
      </w:r>
      <w:r w:rsidRPr="00340256">
        <w:rPr>
          <w:color w:val="000000" w:themeColor="text1"/>
          <w:sz w:val="21"/>
          <w:szCs w:val="21"/>
          <w:lang w:val="tr-TR"/>
        </w:rPr>
        <w:t xml:space="preserve">, Kişisel </w:t>
      </w:r>
      <w:proofErr w:type="spellStart"/>
      <w:r w:rsidRPr="00340256">
        <w:rPr>
          <w:color w:val="000000" w:themeColor="text1"/>
          <w:sz w:val="21"/>
          <w:szCs w:val="21"/>
          <w:lang w:val="tr-TR"/>
        </w:rPr>
        <w:t>Veriler’i</w:t>
      </w:r>
      <w:proofErr w:type="spellEnd"/>
      <w:r w:rsidRPr="00340256">
        <w:rPr>
          <w:color w:val="000000" w:themeColor="text1"/>
          <w:sz w:val="21"/>
          <w:szCs w:val="21"/>
          <w:lang w:val="tr-TR"/>
        </w:rPr>
        <w:t xml:space="preserve"> ve Gizli </w:t>
      </w:r>
      <w:proofErr w:type="spellStart"/>
      <w:r w:rsidRPr="00340256">
        <w:rPr>
          <w:color w:val="000000" w:themeColor="text1"/>
          <w:sz w:val="21"/>
          <w:szCs w:val="21"/>
          <w:lang w:val="tr-TR"/>
        </w:rPr>
        <w:t>Bilgiler’i</w:t>
      </w:r>
      <w:proofErr w:type="spellEnd"/>
      <w:r w:rsidRPr="00340256">
        <w:rPr>
          <w:color w:val="000000" w:themeColor="text1"/>
          <w:sz w:val="21"/>
          <w:szCs w:val="21"/>
          <w:lang w:val="tr-TR"/>
        </w:rPr>
        <w:t xml:space="preserve"> işbu taahhütnameye aykırı olarak ifşa etmeyeceğini, açıklamayacağını, rakip olan kuruluşlarla veya bizzat aynı konularda araştırma-geliştirme ve </w:t>
      </w:r>
      <w:r w:rsidRPr="00340256">
        <w:rPr>
          <w:bCs/>
          <w:sz w:val="21"/>
          <w:szCs w:val="21"/>
          <w:lang w:val="tr-TR"/>
        </w:rPr>
        <w:t xml:space="preserve">Şirket’e </w:t>
      </w:r>
      <w:r w:rsidRPr="00340256">
        <w:rPr>
          <w:color w:val="000000" w:themeColor="text1"/>
          <w:sz w:val="21"/>
          <w:szCs w:val="21"/>
          <w:lang w:val="tr-TR"/>
        </w:rPr>
        <w:t>karşı her türlü haksız rekabet ortamı yaratacak çalışmalarda bulunmayacağını kabul ve taahhüt eder.</w:t>
      </w:r>
    </w:p>
    <w:p w14:paraId="7DA377AA" w14:textId="77777777" w:rsidR="008C4FC8" w:rsidRPr="00340256" w:rsidRDefault="008C4FC8" w:rsidP="008C4FC8">
      <w:pPr>
        <w:pStyle w:val="ListeParagraf"/>
        <w:spacing w:line="276" w:lineRule="auto"/>
        <w:ind w:left="284" w:hanging="284"/>
        <w:jc w:val="both"/>
        <w:rPr>
          <w:color w:val="000000" w:themeColor="text1"/>
          <w:sz w:val="21"/>
          <w:szCs w:val="21"/>
          <w:lang w:val="tr-TR"/>
        </w:rPr>
      </w:pPr>
    </w:p>
    <w:p w14:paraId="0332BABC" w14:textId="77777777" w:rsidR="008C4FC8" w:rsidRPr="00340256" w:rsidRDefault="008C4FC8" w:rsidP="008C4FC8">
      <w:pPr>
        <w:pStyle w:val="GvdeMetni"/>
        <w:numPr>
          <w:ilvl w:val="0"/>
          <w:numId w:val="2"/>
        </w:numPr>
        <w:spacing w:after="0" w:line="276" w:lineRule="auto"/>
        <w:ind w:left="284" w:hanging="284"/>
        <w:rPr>
          <w:color w:val="000000" w:themeColor="text1"/>
          <w:sz w:val="21"/>
          <w:szCs w:val="21"/>
          <w:lang w:val="tr-TR"/>
        </w:rPr>
      </w:pPr>
      <w:r w:rsidRPr="00340256">
        <w:rPr>
          <w:b/>
          <w:color w:val="000000" w:themeColor="text1"/>
          <w:sz w:val="21"/>
          <w:szCs w:val="21"/>
          <w:lang w:val="tr-TR"/>
        </w:rPr>
        <w:t>Gizli Bilgi</w:t>
      </w:r>
    </w:p>
    <w:p w14:paraId="44F6199B" w14:textId="75454D8A" w:rsidR="008C4FC8" w:rsidRPr="005F139A" w:rsidRDefault="008C4FC8" w:rsidP="005F139A">
      <w:pPr>
        <w:pStyle w:val="GvdeMetni"/>
        <w:spacing w:after="0" w:line="276" w:lineRule="auto"/>
        <w:ind w:left="284" w:firstLine="0"/>
        <w:rPr>
          <w:color w:val="000000" w:themeColor="text1"/>
          <w:sz w:val="21"/>
          <w:szCs w:val="21"/>
          <w:lang w:val="tr-TR"/>
        </w:rPr>
      </w:pPr>
      <w:r w:rsidRPr="00340256">
        <w:rPr>
          <w:color w:val="000000" w:themeColor="text1"/>
          <w:sz w:val="21"/>
          <w:szCs w:val="21"/>
          <w:lang w:val="tr-TR"/>
        </w:rPr>
        <w:t xml:space="preserve">İşbu taahhütname kapsamında </w:t>
      </w:r>
      <w:r w:rsidRPr="00340256">
        <w:rPr>
          <w:bCs/>
          <w:sz w:val="21"/>
          <w:szCs w:val="21"/>
          <w:lang w:val="tr-TR"/>
        </w:rPr>
        <w:t xml:space="preserve">Şirket’e </w:t>
      </w:r>
      <w:r w:rsidRPr="00340256">
        <w:rPr>
          <w:color w:val="000000" w:themeColor="text1"/>
          <w:sz w:val="21"/>
          <w:szCs w:val="21"/>
          <w:lang w:val="tr-TR"/>
        </w:rPr>
        <w:t xml:space="preserve">ait bilgiler aşağıdakilerle sınırlı olmamak üzere </w:t>
      </w:r>
      <w:r w:rsidRPr="00340256">
        <w:rPr>
          <w:b/>
          <w:iCs/>
          <w:color w:val="000000" w:themeColor="text1"/>
          <w:sz w:val="21"/>
          <w:szCs w:val="21"/>
          <w:lang w:val="tr-TR"/>
        </w:rPr>
        <w:t>“Gizli Bilgi”</w:t>
      </w:r>
      <w:r w:rsidRPr="00340256">
        <w:rPr>
          <w:color w:val="000000" w:themeColor="text1"/>
          <w:sz w:val="21"/>
          <w:szCs w:val="21"/>
          <w:lang w:val="tr-TR"/>
        </w:rPr>
        <w:t xml:space="preserve"> olarak kabul edilecektir;</w:t>
      </w:r>
    </w:p>
    <w:p w14:paraId="30412B06" w14:textId="7E6B584E" w:rsidR="008C4FC8" w:rsidRPr="00340256" w:rsidRDefault="008C4FC8" w:rsidP="008C4FC8">
      <w:pPr>
        <w:pStyle w:val="GvdeMetni"/>
        <w:numPr>
          <w:ilvl w:val="0"/>
          <w:numId w:val="3"/>
        </w:numPr>
        <w:spacing w:after="0" w:line="276" w:lineRule="auto"/>
        <w:ind w:left="567" w:hanging="283"/>
        <w:rPr>
          <w:color w:val="000000" w:themeColor="text1"/>
          <w:sz w:val="21"/>
          <w:szCs w:val="21"/>
          <w:lang w:val="tr-TR"/>
        </w:rPr>
      </w:pPr>
      <w:proofErr w:type="spellStart"/>
      <w:r>
        <w:rPr>
          <w:color w:val="000000" w:themeColor="text1"/>
          <w:sz w:val="21"/>
          <w:szCs w:val="21"/>
          <w:lang w:val="tr-TR"/>
        </w:rPr>
        <w:t>Gönüllü’nün</w:t>
      </w:r>
      <w:proofErr w:type="spellEnd"/>
      <w:r w:rsidRPr="00340256">
        <w:rPr>
          <w:color w:val="000000" w:themeColor="text1"/>
          <w:sz w:val="21"/>
          <w:szCs w:val="21"/>
          <w:lang w:val="tr-TR"/>
        </w:rPr>
        <w:t xml:space="preserve"> </w:t>
      </w:r>
      <w:r>
        <w:rPr>
          <w:color w:val="000000" w:themeColor="text1"/>
          <w:sz w:val="21"/>
          <w:szCs w:val="21"/>
          <w:lang w:val="tr-TR"/>
        </w:rPr>
        <w:t>gönüllülük ilişkisi</w:t>
      </w:r>
      <w:r w:rsidRPr="00340256">
        <w:rPr>
          <w:color w:val="000000" w:themeColor="text1"/>
          <w:sz w:val="21"/>
          <w:szCs w:val="21"/>
          <w:lang w:val="tr-TR"/>
        </w:rPr>
        <w:t xml:space="preserve"> kapsamında yaptığı işler sonucunda </w:t>
      </w:r>
      <w:r w:rsidRPr="00340256">
        <w:rPr>
          <w:bCs/>
          <w:sz w:val="21"/>
          <w:szCs w:val="21"/>
          <w:lang w:val="tr-TR"/>
        </w:rPr>
        <w:t xml:space="preserve">Şirket’ten, </w:t>
      </w:r>
      <w:r w:rsidRPr="00340256">
        <w:rPr>
          <w:color w:val="000000" w:themeColor="text1"/>
          <w:sz w:val="21"/>
          <w:szCs w:val="21"/>
          <w:lang w:val="tr-TR"/>
        </w:rPr>
        <w:t>müşterilerinden veya üçüncü kişilerden elde ettiği tüm elektronik ve fiziksel bilgiler,</w:t>
      </w:r>
    </w:p>
    <w:p w14:paraId="4F1C453E" w14:textId="77777777" w:rsidR="008C4FC8" w:rsidRPr="00340256" w:rsidRDefault="008C4FC8" w:rsidP="008C4FC8">
      <w:pPr>
        <w:pStyle w:val="GvdeMetni"/>
        <w:numPr>
          <w:ilvl w:val="0"/>
          <w:numId w:val="3"/>
        </w:numPr>
        <w:spacing w:after="0" w:line="276" w:lineRule="auto"/>
        <w:ind w:left="567" w:hanging="283"/>
        <w:rPr>
          <w:color w:val="000000" w:themeColor="text1"/>
          <w:sz w:val="21"/>
          <w:szCs w:val="21"/>
          <w:lang w:val="tr-TR"/>
        </w:rPr>
      </w:pPr>
      <w:r w:rsidRPr="00340256">
        <w:rPr>
          <w:color w:val="000000" w:themeColor="text1"/>
          <w:sz w:val="21"/>
          <w:szCs w:val="21"/>
          <w:lang w:val="tr-TR"/>
        </w:rPr>
        <w:t xml:space="preserve">Muhasebeye ilişkin ve özellikle </w:t>
      </w:r>
      <w:r w:rsidRPr="00340256">
        <w:rPr>
          <w:bCs/>
          <w:sz w:val="21"/>
          <w:szCs w:val="21"/>
          <w:lang w:val="tr-TR"/>
        </w:rPr>
        <w:t xml:space="preserve">Şirket’in </w:t>
      </w:r>
      <w:r w:rsidRPr="00340256">
        <w:rPr>
          <w:color w:val="000000" w:themeColor="text1"/>
          <w:sz w:val="21"/>
          <w:szCs w:val="21"/>
          <w:lang w:val="tr-TR"/>
        </w:rPr>
        <w:t>banka hesaplarına ilişkin her türlü bilgi,</w:t>
      </w:r>
    </w:p>
    <w:p w14:paraId="0A9940FB" w14:textId="77777777" w:rsidR="008C4FC8" w:rsidRPr="00340256" w:rsidRDefault="008C4FC8" w:rsidP="008C4FC8">
      <w:pPr>
        <w:pStyle w:val="GvdeMetni"/>
        <w:numPr>
          <w:ilvl w:val="0"/>
          <w:numId w:val="3"/>
        </w:numPr>
        <w:spacing w:after="0" w:line="276" w:lineRule="auto"/>
        <w:ind w:left="567" w:hanging="283"/>
        <w:rPr>
          <w:color w:val="000000" w:themeColor="text1"/>
          <w:sz w:val="21"/>
          <w:szCs w:val="21"/>
          <w:lang w:val="tr-TR"/>
        </w:rPr>
      </w:pPr>
      <w:r w:rsidRPr="00340256">
        <w:rPr>
          <w:bCs/>
          <w:sz w:val="21"/>
          <w:szCs w:val="21"/>
          <w:lang w:val="tr-TR"/>
        </w:rPr>
        <w:t xml:space="preserve">Şirket’in pay sahipleri ve varsa </w:t>
      </w:r>
      <w:r w:rsidRPr="00340256">
        <w:rPr>
          <w:color w:val="000000" w:themeColor="text1"/>
          <w:sz w:val="21"/>
          <w:szCs w:val="21"/>
          <w:lang w:val="tr-TR"/>
        </w:rPr>
        <w:t>iştirakleri ile bunların güncel ve geçmişteki hissedarlarına ait bilgiler,</w:t>
      </w:r>
    </w:p>
    <w:p w14:paraId="345E8E6A" w14:textId="77777777" w:rsidR="008C4FC8" w:rsidRPr="00340256" w:rsidRDefault="008C4FC8" w:rsidP="008C4FC8">
      <w:pPr>
        <w:pStyle w:val="GvdeMetni"/>
        <w:numPr>
          <w:ilvl w:val="0"/>
          <w:numId w:val="3"/>
        </w:numPr>
        <w:spacing w:after="0" w:line="276" w:lineRule="auto"/>
        <w:ind w:left="567" w:hanging="283"/>
        <w:rPr>
          <w:color w:val="000000" w:themeColor="text1"/>
          <w:sz w:val="21"/>
          <w:szCs w:val="21"/>
          <w:lang w:val="tr-TR"/>
        </w:rPr>
      </w:pPr>
      <w:r w:rsidRPr="00340256">
        <w:rPr>
          <w:color w:val="000000" w:themeColor="text1"/>
          <w:sz w:val="21"/>
          <w:szCs w:val="21"/>
          <w:lang w:val="tr-TR"/>
        </w:rPr>
        <w:t xml:space="preserve">Her türlü e-posta, yazışma, bilgi bankası, doküman, manyetik kayıt ortamında tutulan bilgiler ile parola ve kullanıcı adı dahil olmak üzere elektronik olarak </w:t>
      </w:r>
      <w:r w:rsidRPr="00340256">
        <w:rPr>
          <w:bCs/>
          <w:sz w:val="21"/>
          <w:szCs w:val="21"/>
          <w:lang w:val="tr-TR"/>
        </w:rPr>
        <w:t xml:space="preserve">Şirket’in </w:t>
      </w:r>
      <w:r w:rsidRPr="00340256">
        <w:rPr>
          <w:color w:val="000000" w:themeColor="text1"/>
          <w:sz w:val="21"/>
          <w:szCs w:val="21"/>
          <w:lang w:val="tr-TR"/>
        </w:rPr>
        <w:t>bilgilerine erişime olanak veren diğer tüm bilgiler,</w:t>
      </w:r>
    </w:p>
    <w:p w14:paraId="2A8A38F3" w14:textId="77777777" w:rsidR="008C4FC8" w:rsidRPr="00340256" w:rsidRDefault="008C4FC8" w:rsidP="008C4FC8">
      <w:pPr>
        <w:pStyle w:val="GvdeMetni"/>
        <w:numPr>
          <w:ilvl w:val="0"/>
          <w:numId w:val="3"/>
        </w:numPr>
        <w:spacing w:after="0" w:line="276" w:lineRule="auto"/>
        <w:ind w:left="567" w:hanging="283"/>
        <w:rPr>
          <w:color w:val="000000" w:themeColor="text1"/>
          <w:sz w:val="21"/>
          <w:szCs w:val="21"/>
          <w:lang w:val="tr-TR"/>
        </w:rPr>
      </w:pPr>
      <w:r w:rsidRPr="00340256">
        <w:rPr>
          <w:color w:val="000000" w:themeColor="text1"/>
          <w:sz w:val="21"/>
          <w:szCs w:val="21"/>
          <w:lang w:val="tr-TR"/>
        </w:rPr>
        <w:t>Talimat sevkiyat ve fatura bilgileri de dahil olmak üzere tüm mali bilgiler ile her türlü ticari, finansal bilgiler ve dağıtım ve pazarlamaya ilişkin bilgiler,</w:t>
      </w:r>
    </w:p>
    <w:p w14:paraId="13B77DD9" w14:textId="77777777" w:rsidR="008C4FC8" w:rsidRPr="00340256" w:rsidRDefault="008C4FC8" w:rsidP="008C4FC8">
      <w:pPr>
        <w:pStyle w:val="GvdeMetni"/>
        <w:numPr>
          <w:ilvl w:val="0"/>
          <w:numId w:val="3"/>
        </w:numPr>
        <w:spacing w:after="0" w:line="276" w:lineRule="auto"/>
        <w:ind w:left="567" w:hanging="283"/>
        <w:rPr>
          <w:color w:val="000000" w:themeColor="text1"/>
          <w:sz w:val="21"/>
          <w:szCs w:val="21"/>
          <w:lang w:val="tr-TR"/>
        </w:rPr>
      </w:pPr>
      <w:r w:rsidRPr="00340256">
        <w:rPr>
          <w:color w:val="000000" w:themeColor="text1"/>
          <w:sz w:val="21"/>
          <w:szCs w:val="21"/>
          <w:lang w:val="tr-TR"/>
        </w:rPr>
        <w:t>Fikri mülkiyet hakkına konu olan tüm ürünler ve bu ürünlere ilişkin Fikir ve Sanat Eserleri Kanunu, Sınai Mülkiyet Kanunu ile diğer fikri ve sınai mülkiyet haklarına ilişkin düzenlemeler uyarınca koruma altında olan konsept, proje, işlem, teknik, çalışma, endüstriyel tasarım, marka ve patent bilgileri gibi tüm ticari bilgiler,</w:t>
      </w:r>
    </w:p>
    <w:p w14:paraId="0163B0D2" w14:textId="16EA694D" w:rsidR="008C4FC8" w:rsidRPr="00340256" w:rsidRDefault="008C4FC8" w:rsidP="008C4FC8">
      <w:pPr>
        <w:pStyle w:val="GvdeMetni"/>
        <w:numPr>
          <w:ilvl w:val="0"/>
          <w:numId w:val="3"/>
        </w:numPr>
        <w:spacing w:after="0" w:line="276" w:lineRule="auto"/>
        <w:ind w:left="567" w:hanging="283"/>
        <w:rPr>
          <w:color w:val="000000" w:themeColor="text1"/>
          <w:sz w:val="21"/>
          <w:szCs w:val="21"/>
          <w:lang w:val="tr-TR"/>
        </w:rPr>
      </w:pPr>
      <w:r w:rsidRPr="00340256">
        <w:rPr>
          <w:bCs/>
          <w:sz w:val="21"/>
          <w:szCs w:val="21"/>
          <w:lang w:val="tr-TR"/>
        </w:rPr>
        <w:t xml:space="preserve">Şirket </w:t>
      </w:r>
      <w:r w:rsidRPr="00340256">
        <w:rPr>
          <w:color w:val="000000" w:themeColor="text1"/>
          <w:sz w:val="21"/>
          <w:szCs w:val="21"/>
          <w:lang w:val="tr-TR"/>
        </w:rPr>
        <w:t xml:space="preserve">tarafından sağlanan veya üretilen veya düşünsel düzeyde ortaya çıkan veya </w:t>
      </w:r>
      <w:proofErr w:type="spellStart"/>
      <w:r>
        <w:rPr>
          <w:color w:val="000000" w:themeColor="text1"/>
          <w:sz w:val="21"/>
          <w:szCs w:val="21"/>
          <w:lang w:val="tr-TR"/>
        </w:rPr>
        <w:t>Gönüllü’ye</w:t>
      </w:r>
      <w:proofErr w:type="spellEnd"/>
      <w:r w:rsidRPr="00340256">
        <w:rPr>
          <w:color w:val="000000" w:themeColor="text1"/>
          <w:sz w:val="21"/>
          <w:szCs w:val="21"/>
          <w:lang w:val="tr-TR"/>
        </w:rPr>
        <w:t xml:space="preserve"> işi gereği ürettiği veya </w:t>
      </w:r>
      <w:r w:rsidRPr="00340256">
        <w:rPr>
          <w:bCs/>
          <w:sz w:val="21"/>
          <w:szCs w:val="21"/>
          <w:lang w:val="tr-TR"/>
        </w:rPr>
        <w:t xml:space="preserve">Şirket’in </w:t>
      </w:r>
      <w:r w:rsidRPr="00340256">
        <w:rPr>
          <w:color w:val="000000" w:themeColor="text1"/>
          <w:sz w:val="21"/>
          <w:szCs w:val="21"/>
          <w:lang w:val="tr-TR"/>
        </w:rPr>
        <w:t xml:space="preserve">işi gereği üzerinde çalıştığı ya da yarattığı ya da kendi elinde bulundurmakla yükümlü olduğu ya da güvenliği ve/veya korunmasından sorumlu olduğu her türlü bilgi, bilgisayar ve web yazılımı, yazılıma ilişkin kodlar, </w:t>
      </w:r>
      <w:proofErr w:type="spellStart"/>
      <w:r w:rsidRPr="00340256">
        <w:rPr>
          <w:color w:val="000000" w:themeColor="text1"/>
          <w:sz w:val="21"/>
          <w:szCs w:val="21"/>
          <w:lang w:val="tr-TR"/>
        </w:rPr>
        <w:t>know</w:t>
      </w:r>
      <w:proofErr w:type="spellEnd"/>
      <w:r w:rsidRPr="00340256">
        <w:rPr>
          <w:color w:val="000000" w:themeColor="text1"/>
          <w:sz w:val="21"/>
          <w:szCs w:val="21"/>
          <w:lang w:val="tr-TR"/>
        </w:rPr>
        <w:t>-how, metot, yöntem, plan, program, teknik gelişme, endüstriyel gelişme veya endüstriyel ürün tasarımı ya da planı ya da endüstriyel alanda henüz bilinmeyen veya duyulmayan bir fikir, uygulama, buluş, icat, model, eser, görsel ve/veya işitsel ürün veya eser ve benzerleri,</w:t>
      </w:r>
    </w:p>
    <w:p w14:paraId="68832A99" w14:textId="77777777" w:rsidR="008C4FC8" w:rsidRPr="00340256" w:rsidRDefault="008C4FC8" w:rsidP="008C4FC8">
      <w:pPr>
        <w:pStyle w:val="GvdeMetni"/>
        <w:numPr>
          <w:ilvl w:val="0"/>
          <w:numId w:val="3"/>
        </w:numPr>
        <w:spacing w:after="0" w:line="276" w:lineRule="auto"/>
        <w:ind w:left="567" w:hanging="283"/>
        <w:rPr>
          <w:color w:val="000000" w:themeColor="text1"/>
          <w:sz w:val="21"/>
          <w:szCs w:val="21"/>
          <w:lang w:val="tr-TR"/>
        </w:rPr>
      </w:pPr>
      <w:r w:rsidRPr="00340256">
        <w:rPr>
          <w:rFonts w:cs="Tahoma"/>
          <w:sz w:val="21"/>
          <w:szCs w:val="21"/>
          <w:lang w:val="tr-TR"/>
        </w:rPr>
        <w:t>Ticari bilgi niteliği taşıyan ve üçüncü kişilere açıklanması sakıncalı olan tüm bilgiler,</w:t>
      </w:r>
    </w:p>
    <w:p w14:paraId="0B062646" w14:textId="77777777" w:rsidR="008C4FC8" w:rsidRPr="00340256" w:rsidRDefault="008C4FC8" w:rsidP="008C4FC8">
      <w:pPr>
        <w:pStyle w:val="GvdeMetni"/>
        <w:numPr>
          <w:ilvl w:val="0"/>
          <w:numId w:val="3"/>
        </w:numPr>
        <w:spacing w:after="0" w:line="276" w:lineRule="auto"/>
        <w:ind w:left="567" w:hanging="283"/>
        <w:rPr>
          <w:color w:val="000000" w:themeColor="text1"/>
          <w:sz w:val="21"/>
          <w:szCs w:val="21"/>
          <w:lang w:val="tr-TR"/>
        </w:rPr>
      </w:pPr>
      <w:r w:rsidRPr="00340256">
        <w:rPr>
          <w:rFonts w:cs="Tahoma"/>
          <w:sz w:val="21"/>
          <w:szCs w:val="21"/>
          <w:lang w:val="tr-TR"/>
        </w:rPr>
        <w:t xml:space="preserve">Şirket’in müşteri listesi, müşteri dosyaları, şirket defterleri, kayıt yazışmalarındaki bilgiler ile Şirket’in diğer dosya ve kayıtlarındaki ticari, mali, teknik belge ve bilgileri ya da çeşitli alanlarda kullanılan </w:t>
      </w:r>
      <w:r w:rsidRPr="00340256">
        <w:rPr>
          <w:rFonts w:cs="Tahoma"/>
          <w:sz w:val="21"/>
          <w:szCs w:val="21"/>
          <w:lang w:val="tr-TR"/>
        </w:rPr>
        <w:lastRenderedPageBreak/>
        <w:t>şirkete özgü metotlara, stratejilere, çalışma biçimine, iş hacmine, hazırlanmış veya hazırlanmakta olan projelere ilişkin bilgi ve belgeler,</w:t>
      </w:r>
    </w:p>
    <w:p w14:paraId="6FB7BAC9" w14:textId="288D7327" w:rsidR="008C4FC8" w:rsidRPr="00CB26C7" w:rsidRDefault="008C4FC8" w:rsidP="00CB26C7">
      <w:pPr>
        <w:pStyle w:val="GvdeMetni"/>
        <w:numPr>
          <w:ilvl w:val="0"/>
          <w:numId w:val="3"/>
        </w:numPr>
        <w:spacing w:after="0" w:line="276" w:lineRule="auto"/>
        <w:ind w:left="567" w:hanging="283"/>
        <w:rPr>
          <w:color w:val="000000" w:themeColor="text1"/>
          <w:sz w:val="21"/>
          <w:szCs w:val="21"/>
          <w:lang w:val="tr-TR"/>
        </w:rPr>
      </w:pPr>
      <w:r w:rsidRPr="00340256">
        <w:rPr>
          <w:bCs/>
          <w:sz w:val="21"/>
          <w:szCs w:val="21"/>
          <w:lang w:val="tr-TR"/>
        </w:rPr>
        <w:t xml:space="preserve">Şirket’in </w:t>
      </w:r>
      <w:r w:rsidRPr="00340256">
        <w:rPr>
          <w:color w:val="000000" w:themeColor="text1"/>
          <w:sz w:val="21"/>
          <w:szCs w:val="21"/>
          <w:lang w:val="tr-TR"/>
        </w:rPr>
        <w:t>bilgisayar sistemleri, sunucuları ve veri tabanında yer alan ve kamuya açık olmayan tüm bilgiler.</w:t>
      </w:r>
    </w:p>
    <w:p w14:paraId="7685B20B" w14:textId="77777777" w:rsidR="008C4FC8" w:rsidRPr="00340256" w:rsidRDefault="008C4FC8" w:rsidP="008C4FC8">
      <w:pPr>
        <w:pStyle w:val="GvdeMetni"/>
        <w:spacing w:after="0" w:line="276" w:lineRule="auto"/>
        <w:ind w:left="284" w:firstLine="0"/>
        <w:rPr>
          <w:b/>
          <w:color w:val="000000" w:themeColor="text1"/>
          <w:sz w:val="21"/>
          <w:szCs w:val="21"/>
          <w:lang w:val="tr-TR"/>
        </w:rPr>
      </w:pPr>
    </w:p>
    <w:p w14:paraId="020C481C" w14:textId="77777777" w:rsidR="008C4FC8" w:rsidRPr="00340256" w:rsidRDefault="008C4FC8" w:rsidP="008C4FC8">
      <w:pPr>
        <w:pStyle w:val="GvdeMetni"/>
        <w:numPr>
          <w:ilvl w:val="0"/>
          <w:numId w:val="2"/>
        </w:numPr>
        <w:spacing w:after="0" w:line="276" w:lineRule="auto"/>
        <w:ind w:left="284" w:hanging="284"/>
        <w:rPr>
          <w:b/>
          <w:color w:val="000000" w:themeColor="text1"/>
          <w:sz w:val="21"/>
          <w:szCs w:val="21"/>
          <w:lang w:val="tr-TR"/>
        </w:rPr>
      </w:pPr>
      <w:r w:rsidRPr="00340256">
        <w:rPr>
          <w:b/>
          <w:color w:val="000000" w:themeColor="text1"/>
          <w:sz w:val="21"/>
          <w:szCs w:val="21"/>
          <w:lang w:val="tr-TR"/>
        </w:rPr>
        <w:t>Kişisel Verilerin Kullanımına ve İfşasına ilişkin Sınırlamalar</w:t>
      </w:r>
    </w:p>
    <w:p w14:paraId="2C37143E" w14:textId="7351A781" w:rsidR="008C4FC8" w:rsidRPr="00340256" w:rsidRDefault="008C4FC8" w:rsidP="008C4FC8">
      <w:pPr>
        <w:pStyle w:val="GvdeMetni"/>
        <w:spacing w:after="0" w:line="276" w:lineRule="auto"/>
        <w:ind w:left="284" w:firstLine="0"/>
        <w:rPr>
          <w:bCs/>
          <w:color w:val="000000" w:themeColor="text1"/>
          <w:sz w:val="21"/>
          <w:szCs w:val="21"/>
          <w:lang w:val="tr-TR"/>
        </w:rPr>
      </w:pPr>
      <w:r>
        <w:rPr>
          <w:color w:val="000000" w:themeColor="text1"/>
          <w:sz w:val="21"/>
          <w:szCs w:val="21"/>
          <w:lang w:val="tr-TR"/>
        </w:rPr>
        <w:t>Gönüllü</w:t>
      </w:r>
      <w:r w:rsidRPr="00340256">
        <w:rPr>
          <w:bCs/>
          <w:color w:val="000000" w:themeColor="text1"/>
          <w:sz w:val="21"/>
          <w:szCs w:val="21"/>
          <w:lang w:val="tr-TR"/>
        </w:rPr>
        <w:t xml:space="preserve">, Kişisel Verilerin Korunması Kanunu çerçevesindeki Şirket Politikalarına ilişkin gerekli bilgilendirmenin kendisine yapıldığını, çalışma süresi boyunca Kişisel Verileri yalnızca Şirket’in faaliyet konusu kapsamında ve Şirket yetkililerinin belirlediği sınırlar içerisinde işleyeceğini, faaliyet amacı dışında Kişisel Verileri 3. Kişilere aktarmayacağını, işyeri dışına gerekmedikçe çıkarmayacağını, şahsi amaçları doğrultusunda kullanmayacağını, veri ihlaline ilişkin riskli bir durumun ortaya çıkması halinde Şirket yetkililerini derhal bilgilendireceğini  kabul, beyan ve taahhüt eder. </w:t>
      </w:r>
    </w:p>
    <w:p w14:paraId="58105F99" w14:textId="77777777" w:rsidR="008C4FC8" w:rsidRPr="00340256" w:rsidRDefault="008C4FC8" w:rsidP="008C4FC8">
      <w:pPr>
        <w:pStyle w:val="GvdeMetni"/>
        <w:spacing w:after="0" w:line="276" w:lineRule="auto"/>
        <w:ind w:left="284" w:firstLine="0"/>
        <w:rPr>
          <w:bCs/>
          <w:color w:val="000000" w:themeColor="text1"/>
          <w:sz w:val="21"/>
          <w:szCs w:val="21"/>
          <w:lang w:val="tr-TR"/>
        </w:rPr>
      </w:pPr>
    </w:p>
    <w:p w14:paraId="07304F98" w14:textId="77777777" w:rsidR="008C4FC8" w:rsidRPr="00340256" w:rsidRDefault="008C4FC8" w:rsidP="008C4FC8">
      <w:pPr>
        <w:pStyle w:val="GvdeMetni"/>
        <w:numPr>
          <w:ilvl w:val="0"/>
          <w:numId w:val="2"/>
        </w:numPr>
        <w:spacing w:after="0" w:line="276" w:lineRule="auto"/>
        <w:ind w:left="284" w:hanging="284"/>
        <w:rPr>
          <w:b/>
          <w:color w:val="000000" w:themeColor="text1"/>
          <w:sz w:val="21"/>
          <w:szCs w:val="21"/>
          <w:lang w:val="tr-TR"/>
        </w:rPr>
      </w:pPr>
      <w:r w:rsidRPr="00340256">
        <w:rPr>
          <w:b/>
          <w:color w:val="000000" w:themeColor="text1"/>
          <w:sz w:val="21"/>
          <w:szCs w:val="21"/>
          <w:lang w:val="tr-TR"/>
        </w:rPr>
        <w:t>Bildirim</w:t>
      </w:r>
    </w:p>
    <w:p w14:paraId="636A39FB" w14:textId="18463716" w:rsidR="008C4FC8" w:rsidRPr="00340256" w:rsidRDefault="008C4FC8" w:rsidP="008C4FC8">
      <w:pPr>
        <w:spacing w:line="276" w:lineRule="auto"/>
        <w:ind w:left="284"/>
        <w:jc w:val="both"/>
        <w:rPr>
          <w:rFonts w:cs="Tahoma"/>
          <w:sz w:val="21"/>
          <w:szCs w:val="21"/>
          <w:lang w:val="tr-TR"/>
        </w:rPr>
      </w:pPr>
      <w:r w:rsidRPr="00340256">
        <w:rPr>
          <w:rFonts w:cs="Tahoma"/>
          <w:sz w:val="21"/>
          <w:szCs w:val="21"/>
          <w:lang w:val="tr-TR"/>
        </w:rPr>
        <w:t xml:space="preserve">İşbu taahhütnamenin imzalandığı tarih itibariyle, </w:t>
      </w:r>
      <w:r>
        <w:rPr>
          <w:color w:val="000000" w:themeColor="text1"/>
          <w:sz w:val="21"/>
          <w:szCs w:val="21"/>
          <w:lang w:val="tr-TR"/>
        </w:rPr>
        <w:t>Gönüllü</w:t>
      </w:r>
      <w:r>
        <w:rPr>
          <w:bCs/>
          <w:sz w:val="21"/>
          <w:szCs w:val="21"/>
          <w:lang w:val="tr-TR"/>
        </w:rPr>
        <w:t xml:space="preserve">, </w:t>
      </w:r>
      <w:r w:rsidRPr="00340256">
        <w:rPr>
          <w:bCs/>
          <w:sz w:val="21"/>
          <w:szCs w:val="21"/>
          <w:lang w:val="tr-TR"/>
        </w:rPr>
        <w:t>Şirket’in</w:t>
      </w:r>
      <w:r w:rsidRPr="00340256">
        <w:rPr>
          <w:rFonts w:cs="Tahoma"/>
          <w:sz w:val="21"/>
          <w:szCs w:val="21"/>
          <w:lang w:val="tr-TR"/>
        </w:rPr>
        <w:t xml:space="preserve"> kendisini görevlendirmiş olduğu tüm operasyonlar / projeler ile aynı veya benzer işlerle uğraşan firmalarda çalışan veya bu firmalarla çalışmasa bile ilişki içerisinde bulunan yakınlarını ve yine bu tarihten itibaren bu firmalarda işe başlayacak veya ilişki içerisinde olacak yakınlarımı vakit geçirmeden </w:t>
      </w:r>
      <w:proofErr w:type="spellStart"/>
      <w:r>
        <w:rPr>
          <w:color w:val="000000" w:themeColor="text1"/>
          <w:sz w:val="21"/>
          <w:szCs w:val="21"/>
          <w:lang w:val="tr-TR"/>
        </w:rPr>
        <w:t>Gönüllü’ye</w:t>
      </w:r>
      <w:proofErr w:type="spellEnd"/>
      <w:r w:rsidRPr="00340256">
        <w:rPr>
          <w:rFonts w:cs="Tahoma"/>
          <w:sz w:val="21"/>
          <w:szCs w:val="21"/>
          <w:lang w:val="tr-TR"/>
        </w:rPr>
        <w:t xml:space="preserve"> bildireceğini kabul, beyan ve taahhüt eder.</w:t>
      </w:r>
    </w:p>
    <w:p w14:paraId="00B3137C" w14:textId="77777777" w:rsidR="008C4FC8" w:rsidRPr="00340256" w:rsidRDefault="008C4FC8" w:rsidP="00CB26C7">
      <w:pPr>
        <w:pStyle w:val="GvdeMetni"/>
        <w:spacing w:after="0" w:line="276" w:lineRule="auto"/>
        <w:ind w:firstLine="0"/>
        <w:rPr>
          <w:b/>
          <w:color w:val="000000" w:themeColor="text1"/>
          <w:sz w:val="21"/>
          <w:szCs w:val="21"/>
          <w:lang w:val="tr-TR"/>
        </w:rPr>
      </w:pPr>
    </w:p>
    <w:p w14:paraId="70FF2135" w14:textId="77777777" w:rsidR="008C4FC8" w:rsidRPr="00340256" w:rsidRDefault="008C4FC8" w:rsidP="008C4FC8">
      <w:pPr>
        <w:pStyle w:val="GvdeMetni"/>
        <w:numPr>
          <w:ilvl w:val="0"/>
          <w:numId w:val="2"/>
        </w:numPr>
        <w:spacing w:after="0" w:line="276" w:lineRule="auto"/>
        <w:ind w:left="284" w:hanging="284"/>
        <w:rPr>
          <w:b/>
          <w:color w:val="000000" w:themeColor="text1"/>
          <w:sz w:val="21"/>
          <w:szCs w:val="21"/>
          <w:lang w:val="tr-TR"/>
        </w:rPr>
      </w:pPr>
      <w:r w:rsidRPr="00340256">
        <w:rPr>
          <w:b/>
          <w:color w:val="000000" w:themeColor="text1"/>
          <w:sz w:val="21"/>
          <w:szCs w:val="21"/>
          <w:lang w:val="tr-TR"/>
        </w:rPr>
        <w:t>Gizli Bilginin İadesi</w:t>
      </w:r>
    </w:p>
    <w:p w14:paraId="06A9F20F" w14:textId="456ED660" w:rsidR="008C4FC8" w:rsidRPr="00340256" w:rsidRDefault="008C4FC8" w:rsidP="008C4FC8">
      <w:pPr>
        <w:pStyle w:val="ListeParagraf"/>
        <w:spacing w:line="276" w:lineRule="auto"/>
        <w:ind w:left="284"/>
        <w:jc w:val="both"/>
        <w:rPr>
          <w:color w:val="000000" w:themeColor="text1"/>
          <w:sz w:val="21"/>
          <w:szCs w:val="21"/>
          <w:lang w:val="tr-TR"/>
        </w:rPr>
      </w:pPr>
      <w:r w:rsidRPr="00340256">
        <w:rPr>
          <w:color w:val="000000" w:themeColor="text1"/>
          <w:sz w:val="21"/>
          <w:szCs w:val="21"/>
          <w:lang w:val="tr-TR"/>
        </w:rPr>
        <w:t xml:space="preserve">Şirket’in talebi üzerine </w:t>
      </w:r>
      <w:r>
        <w:rPr>
          <w:color w:val="000000" w:themeColor="text1"/>
          <w:sz w:val="21"/>
          <w:szCs w:val="21"/>
          <w:lang w:val="tr-TR"/>
        </w:rPr>
        <w:t>Gönüllü</w:t>
      </w:r>
      <w:r w:rsidRPr="00340256">
        <w:rPr>
          <w:color w:val="000000" w:themeColor="text1"/>
          <w:sz w:val="21"/>
          <w:szCs w:val="21"/>
          <w:lang w:val="tr-TR"/>
        </w:rPr>
        <w:t xml:space="preserve">, kendisinde mevcut bulunan ve Gizli Bilgi içeren tüm doküman evrak veya elektronik veriyi (tüm kopyaları ile birlikte) derhal Şirket’e iade etmekle yükümlüdür. </w:t>
      </w:r>
      <w:r>
        <w:rPr>
          <w:color w:val="000000" w:themeColor="text1"/>
          <w:sz w:val="21"/>
          <w:szCs w:val="21"/>
          <w:lang w:val="tr-TR"/>
        </w:rPr>
        <w:t>Gönüllü</w:t>
      </w:r>
      <w:r w:rsidRPr="00340256">
        <w:rPr>
          <w:color w:val="000000" w:themeColor="text1"/>
          <w:sz w:val="21"/>
          <w:szCs w:val="21"/>
          <w:lang w:val="tr-TR"/>
        </w:rPr>
        <w:t xml:space="preserve"> işbu madde kapsamında gizli bilginin ve Kişisel Verinin iadesini veya imhasını sağlasa dahi taahhütname kapsamında Gizli Bilgi’nin korunmasına ilişkin tüm yükümlülüklerden sorumlu olmaya devam edecektir.</w:t>
      </w:r>
    </w:p>
    <w:p w14:paraId="2E7E005C" w14:textId="77777777" w:rsidR="008C4FC8" w:rsidRPr="00090F32" w:rsidRDefault="008C4FC8" w:rsidP="00090F32">
      <w:pPr>
        <w:spacing w:line="276" w:lineRule="auto"/>
        <w:ind w:right="26"/>
        <w:jc w:val="both"/>
        <w:rPr>
          <w:color w:val="000000" w:themeColor="text1"/>
          <w:sz w:val="21"/>
          <w:szCs w:val="21"/>
          <w:lang w:val="tr-TR"/>
        </w:rPr>
      </w:pPr>
      <w:bookmarkStart w:id="1" w:name="_Hlk23507873"/>
    </w:p>
    <w:bookmarkEnd w:id="1"/>
    <w:p w14:paraId="32E09507" w14:textId="77777777" w:rsidR="008C4FC8" w:rsidRPr="00340256" w:rsidRDefault="008C4FC8" w:rsidP="008C4FC8">
      <w:pPr>
        <w:pStyle w:val="GvdeMetni"/>
        <w:ind w:firstLine="0"/>
        <w:rPr>
          <w:b/>
          <w:bCs/>
          <w:color w:val="000000" w:themeColor="text1"/>
          <w:sz w:val="21"/>
          <w:szCs w:val="21"/>
          <w:lang w:val="tr-TR"/>
        </w:rPr>
      </w:pPr>
    </w:p>
    <w:p w14:paraId="6CC1EB95" w14:textId="77777777" w:rsidR="008C4FC8" w:rsidRPr="00340256" w:rsidRDefault="008C4FC8" w:rsidP="008C4FC8">
      <w:pPr>
        <w:pStyle w:val="GvdeMetni"/>
        <w:ind w:firstLine="0"/>
        <w:rPr>
          <w:b/>
          <w:bCs/>
          <w:color w:val="000000" w:themeColor="text1"/>
          <w:sz w:val="21"/>
          <w:szCs w:val="21"/>
          <w:lang w:val="tr-TR"/>
        </w:rPr>
      </w:pPr>
      <w:r w:rsidRPr="00340256">
        <w:rPr>
          <w:b/>
          <w:bCs/>
          <w:color w:val="000000" w:themeColor="text1"/>
          <w:sz w:val="21"/>
          <w:szCs w:val="21"/>
          <w:lang w:val="tr-TR"/>
        </w:rPr>
        <w:t>Ad-Soyad/TCKN</w:t>
      </w:r>
      <w:r w:rsidRPr="00340256">
        <w:rPr>
          <w:b/>
          <w:bCs/>
          <w:color w:val="000000" w:themeColor="text1"/>
          <w:sz w:val="21"/>
          <w:szCs w:val="21"/>
          <w:lang w:val="tr-TR"/>
        </w:rPr>
        <w:tab/>
        <w:t>:</w:t>
      </w:r>
      <w:r w:rsidRPr="00340256">
        <w:rPr>
          <w:b/>
          <w:bCs/>
          <w:color w:val="000000" w:themeColor="text1"/>
          <w:sz w:val="21"/>
          <w:szCs w:val="21"/>
          <w:lang w:val="tr-TR"/>
        </w:rPr>
        <w:tab/>
      </w:r>
    </w:p>
    <w:p w14:paraId="66779C40" w14:textId="77777777" w:rsidR="008C4FC8" w:rsidRPr="00340256" w:rsidRDefault="008C4FC8" w:rsidP="008C4FC8">
      <w:pPr>
        <w:pStyle w:val="GvdeMetni"/>
        <w:ind w:firstLine="0"/>
        <w:rPr>
          <w:b/>
          <w:bCs/>
          <w:color w:val="000000" w:themeColor="text1"/>
          <w:sz w:val="21"/>
          <w:szCs w:val="21"/>
          <w:lang w:val="tr-TR"/>
        </w:rPr>
      </w:pPr>
      <w:r w:rsidRPr="00340256">
        <w:rPr>
          <w:b/>
          <w:bCs/>
          <w:color w:val="000000" w:themeColor="text1"/>
          <w:sz w:val="21"/>
          <w:szCs w:val="21"/>
          <w:lang w:val="tr-TR"/>
        </w:rPr>
        <w:t>Tarih</w:t>
      </w:r>
      <w:r w:rsidRPr="00340256">
        <w:rPr>
          <w:b/>
          <w:bCs/>
          <w:color w:val="000000" w:themeColor="text1"/>
          <w:sz w:val="21"/>
          <w:szCs w:val="21"/>
          <w:lang w:val="tr-TR"/>
        </w:rPr>
        <w:tab/>
      </w:r>
      <w:r w:rsidRPr="00340256">
        <w:rPr>
          <w:b/>
          <w:bCs/>
          <w:color w:val="000000" w:themeColor="text1"/>
          <w:sz w:val="21"/>
          <w:szCs w:val="21"/>
          <w:lang w:val="tr-TR"/>
        </w:rPr>
        <w:tab/>
      </w:r>
      <w:r w:rsidRPr="00340256">
        <w:rPr>
          <w:b/>
          <w:bCs/>
          <w:color w:val="000000" w:themeColor="text1"/>
          <w:sz w:val="21"/>
          <w:szCs w:val="21"/>
          <w:lang w:val="tr-TR"/>
        </w:rPr>
        <w:tab/>
        <w:t>:</w:t>
      </w:r>
    </w:p>
    <w:p w14:paraId="15B23D76" w14:textId="77777777" w:rsidR="008C4FC8" w:rsidRPr="00340256" w:rsidRDefault="008C4FC8" w:rsidP="008C4FC8">
      <w:pPr>
        <w:pStyle w:val="GvdeMetni"/>
        <w:ind w:firstLine="0"/>
        <w:rPr>
          <w:b/>
          <w:bCs/>
          <w:color w:val="000000" w:themeColor="text1"/>
          <w:sz w:val="21"/>
          <w:szCs w:val="21"/>
          <w:lang w:val="tr-TR"/>
        </w:rPr>
      </w:pPr>
      <w:r w:rsidRPr="00340256">
        <w:rPr>
          <w:b/>
          <w:bCs/>
          <w:color w:val="000000" w:themeColor="text1"/>
          <w:sz w:val="21"/>
          <w:szCs w:val="21"/>
          <w:lang w:val="tr-TR"/>
        </w:rPr>
        <w:t>İmza</w:t>
      </w:r>
      <w:r w:rsidRPr="00340256">
        <w:rPr>
          <w:b/>
          <w:bCs/>
          <w:color w:val="000000" w:themeColor="text1"/>
          <w:sz w:val="21"/>
          <w:szCs w:val="21"/>
          <w:lang w:val="tr-TR"/>
        </w:rPr>
        <w:tab/>
      </w:r>
      <w:r w:rsidRPr="00340256">
        <w:rPr>
          <w:b/>
          <w:bCs/>
          <w:color w:val="000000" w:themeColor="text1"/>
          <w:sz w:val="21"/>
          <w:szCs w:val="21"/>
          <w:lang w:val="tr-TR"/>
        </w:rPr>
        <w:tab/>
      </w:r>
      <w:r w:rsidRPr="00340256">
        <w:rPr>
          <w:b/>
          <w:bCs/>
          <w:color w:val="000000" w:themeColor="text1"/>
          <w:sz w:val="21"/>
          <w:szCs w:val="21"/>
          <w:lang w:val="tr-TR"/>
        </w:rPr>
        <w:tab/>
        <w:t>:</w:t>
      </w:r>
    </w:p>
    <w:p w14:paraId="71EC9528" w14:textId="77777777" w:rsidR="008C4FC8" w:rsidRPr="00340256" w:rsidRDefault="008C4FC8" w:rsidP="008C4FC8">
      <w:pPr>
        <w:rPr>
          <w:sz w:val="21"/>
          <w:szCs w:val="21"/>
        </w:rPr>
      </w:pPr>
    </w:p>
    <w:p w14:paraId="1C230FB4" w14:textId="77777777" w:rsidR="008C4FC8" w:rsidRPr="00340256" w:rsidRDefault="008C4FC8" w:rsidP="008C4FC8">
      <w:pPr>
        <w:rPr>
          <w:sz w:val="21"/>
          <w:szCs w:val="21"/>
        </w:rPr>
      </w:pPr>
    </w:p>
    <w:p w14:paraId="02F029F6" w14:textId="77777777" w:rsidR="002740EA" w:rsidRDefault="005A0B91"/>
    <w:sectPr w:rsidR="002740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01CCC"/>
    <w:multiLevelType w:val="multilevel"/>
    <w:tmpl w:val="3EFEF89E"/>
    <w:name w:val="zzmpTabbed||Tabbed|2|1|1|1|0|1||1|0|1||1|0|1||1|0|1||1|0|1||1|0|1||1|0|1||1|0|1||1|0|1||"/>
    <w:lvl w:ilvl="0">
      <w:start w:val="1"/>
      <w:numFmt w:val="decimal"/>
      <w:pStyle w:val="TabbedL1"/>
      <w:lvlText w:val="%1."/>
      <w:lvlJc w:val="left"/>
      <w:pPr>
        <w:tabs>
          <w:tab w:val="num" w:pos="1440"/>
        </w:tabs>
        <w:ind w:left="0" w:firstLine="720"/>
      </w:pPr>
      <w:rPr>
        <w:rFonts w:ascii="Cambria" w:hAnsi="Cambria" w:cs="Times New Roman" w:hint="default"/>
        <w:b/>
        <w:i w:val="0"/>
        <w:caps w:val="0"/>
        <w:small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bedL2"/>
      <w:lvlText w:val="(%2)"/>
      <w:lvlJc w:val="left"/>
      <w:pPr>
        <w:tabs>
          <w:tab w:val="num" w:pos="2160"/>
        </w:tabs>
        <w:ind w:left="0" w:firstLine="1440"/>
      </w:pPr>
      <w:rPr>
        <w:rFonts w:ascii="Cambria" w:hAnsi="Cambria" w:cs="Times New Roman" w:hint="default"/>
        <w:b/>
        <w:i w:val="0"/>
        <w:caps w:val="0"/>
        <w:small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TabbedL3"/>
      <w:lvlText w:val="(%3)"/>
      <w:lvlJc w:val="left"/>
      <w:pPr>
        <w:tabs>
          <w:tab w:val="num" w:pos="2880"/>
        </w:tabs>
        <w:ind w:left="0" w:firstLine="2160"/>
      </w:pPr>
      <w:rPr>
        <w:rFonts w:ascii="Cambria" w:hAnsi="Cambria" w:cs="Times New Roman" w:hint="default"/>
        <w:b/>
        <w:i w:val="0"/>
        <w:caps w:val="0"/>
        <w:smallCaps w:val="0"/>
        <w:strike w:val="0"/>
        <w:dstrike w:val="0"/>
        <w:vanish w:val="0"/>
        <w:webHidden w:val="0"/>
        <w:color w:val="auto"/>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bedL4"/>
      <w:lvlText w:val="(%4)"/>
      <w:lvlJc w:val="left"/>
      <w:pPr>
        <w:tabs>
          <w:tab w:val="num" w:pos="3600"/>
        </w:tabs>
        <w:ind w:left="0" w:firstLine="2880"/>
      </w:pPr>
      <w:rPr>
        <w:rFonts w:ascii="Times New Roman" w:hAnsi="Times New Roman" w:cs="Times New Roman"/>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TabbedL5"/>
      <w:lvlText w:val="%5."/>
      <w:lvlJc w:val="left"/>
      <w:pPr>
        <w:tabs>
          <w:tab w:val="num" w:pos="4320"/>
        </w:tabs>
        <w:ind w:left="0" w:firstLine="3600"/>
      </w:pPr>
      <w:rPr>
        <w:rFonts w:ascii="Times New Roman" w:hAnsi="Times New Roman" w:cs="Times New Roman"/>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TabbedL6"/>
      <w:lvlText w:val="%6."/>
      <w:lvlJc w:val="left"/>
      <w:pPr>
        <w:tabs>
          <w:tab w:val="num" w:pos="5040"/>
        </w:tabs>
        <w:ind w:left="0" w:firstLine="4320"/>
      </w:pPr>
      <w:rPr>
        <w:rFonts w:ascii="Times New Roman" w:hAnsi="Times New Roman" w:cs="Times New Roman"/>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TabbedL7"/>
      <w:lvlText w:val="%7)"/>
      <w:lvlJc w:val="left"/>
      <w:pPr>
        <w:tabs>
          <w:tab w:val="num" w:pos="5760"/>
        </w:tabs>
        <w:ind w:left="0" w:firstLine="5040"/>
      </w:pPr>
      <w:rPr>
        <w:rFonts w:ascii="Times New Roman" w:hAnsi="Times New Roman" w:cs="Times New Roman"/>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L8"/>
      <w:lvlText w:val="%8)"/>
      <w:lvlJc w:val="left"/>
      <w:pPr>
        <w:tabs>
          <w:tab w:val="num" w:pos="6480"/>
        </w:tabs>
        <w:ind w:left="0" w:firstLine="5760"/>
      </w:pPr>
      <w:rPr>
        <w:rFonts w:ascii="Times New Roman" w:hAnsi="Times New Roman" w:cs="Times New Roman"/>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L9"/>
      <w:lvlText w:val="%9)"/>
      <w:lvlJc w:val="left"/>
      <w:pPr>
        <w:tabs>
          <w:tab w:val="num" w:pos="7200"/>
        </w:tabs>
        <w:ind w:left="0" w:firstLine="6480"/>
      </w:pPr>
      <w:rPr>
        <w:rFonts w:ascii="Times New Roman" w:hAnsi="Times New Roman" w:cs="Times New Roman"/>
        <w:b/>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55724A9E"/>
    <w:multiLevelType w:val="hybridMultilevel"/>
    <w:tmpl w:val="013CB73A"/>
    <w:lvl w:ilvl="0" w:tplc="D5629E42">
      <w:start w:val="1"/>
      <w:numFmt w:val="decimal"/>
      <w:lvlText w:val="%1."/>
      <w:lvlJc w:val="left"/>
      <w:pPr>
        <w:ind w:left="720" w:hanging="360"/>
      </w:pPr>
      <w:rPr>
        <w:b/>
      </w:rPr>
    </w:lvl>
    <w:lvl w:ilvl="1" w:tplc="9C0ADACA">
      <w:start w:val="1"/>
      <w:numFmt w:val="lowerLetter"/>
      <w:lvlText w:val="(%2)"/>
      <w:lvlJc w:val="left"/>
      <w:pPr>
        <w:ind w:left="1580" w:hanging="50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6B836083"/>
    <w:multiLevelType w:val="hybridMultilevel"/>
    <w:tmpl w:val="B38CAE7C"/>
    <w:lvl w:ilvl="0" w:tplc="3D1E3934">
      <w:start w:val="1"/>
      <w:numFmt w:val="lowerLetter"/>
      <w:lvlText w:val="(%1)"/>
      <w:lvlJc w:val="left"/>
      <w:pPr>
        <w:ind w:left="1440" w:hanging="360"/>
      </w:pPr>
      <w:rPr>
        <w:b/>
        <w:bCs/>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C8"/>
    <w:rsid w:val="00090F32"/>
    <w:rsid w:val="004039BB"/>
    <w:rsid w:val="005A0B91"/>
    <w:rsid w:val="005F139A"/>
    <w:rsid w:val="006D1F3C"/>
    <w:rsid w:val="008815D8"/>
    <w:rsid w:val="008C4FC8"/>
    <w:rsid w:val="00AC6AF1"/>
    <w:rsid w:val="00B45725"/>
    <w:rsid w:val="00CB26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920D"/>
  <w15:chartTrackingRefBased/>
  <w15:docId w15:val="{9D75FDE0-8786-A446-B766-199912D6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C8"/>
    <w:rPr>
      <w:rFonts w:ascii="Times New Roman" w:eastAsia="Times New Roman" w:hAnsi="Times New Roman" w:cs="Times New Roman"/>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unhideWhenUsed/>
    <w:rsid w:val="008C4FC8"/>
    <w:pPr>
      <w:spacing w:after="240"/>
      <w:ind w:firstLine="720"/>
      <w:jc w:val="both"/>
    </w:pPr>
    <w:rPr>
      <w:szCs w:val="20"/>
    </w:rPr>
  </w:style>
  <w:style w:type="character" w:customStyle="1" w:styleId="GvdeMetniChar">
    <w:name w:val="Gövde Metni Char"/>
    <w:basedOn w:val="VarsaylanParagrafYazTipi"/>
    <w:link w:val="GvdeMetni"/>
    <w:semiHidden/>
    <w:rsid w:val="008C4FC8"/>
    <w:rPr>
      <w:rFonts w:ascii="Times New Roman" w:eastAsia="Times New Roman" w:hAnsi="Times New Roman" w:cs="Times New Roman"/>
      <w:szCs w:val="20"/>
      <w:lang w:val="en-US"/>
    </w:rPr>
  </w:style>
  <w:style w:type="paragraph" w:styleId="ListeParagraf">
    <w:name w:val="List Paragraph"/>
    <w:basedOn w:val="Normal"/>
    <w:uiPriority w:val="34"/>
    <w:qFormat/>
    <w:rsid w:val="008C4FC8"/>
    <w:pPr>
      <w:ind w:left="720"/>
      <w:contextualSpacing/>
    </w:pPr>
  </w:style>
  <w:style w:type="paragraph" w:customStyle="1" w:styleId="TabbedL1">
    <w:name w:val="Tabbed_L1"/>
    <w:basedOn w:val="Normal"/>
    <w:next w:val="Normal"/>
    <w:rsid w:val="008C4FC8"/>
    <w:pPr>
      <w:numPr>
        <w:numId w:val="1"/>
      </w:numPr>
      <w:spacing w:after="240"/>
      <w:outlineLvl w:val="0"/>
    </w:pPr>
  </w:style>
  <w:style w:type="paragraph" w:customStyle="1" w:styleId="TabbedL2">
    <w:name w:val="Tabbed_L2"/>
    <w:basedOn w:val="TabbedL1"/>
    <w:next w:val="Normal"/>
    <w:rsid w:val="008C4FC8"/>
    <w:pPr>
      <w:numPr>
        <w:ilvl w:val="1"/>
      </w:numPr>
      <w:outlineLvl w:val="1"/>
    </w:pPr>
  </w:style>
  <w:style w:type="paragraph" w:customStyle="1" w:styleId="TabbedL3">
    <w:name w:val="Tabbed_L3"/>
    <w:basedOn w:val="TabbedL2"/>
    <w:next w:val="Normal"/>
    <w:rsid w:val="008C4FC8"/>
    <w:pPr>
      <w:numPr>
        <w:ilvl w:val="2"/>
      </w:numPr>
      <w:outlineLvl w:val="2"/>
    </w:pPr>
  </w:style>
  <w:style w:type="paragraph" w:customStyle="1" w:styleId="TabbedL4">
    <w:name w:val="Tabbed_L4"/>
    <w:basedOn w:val="TabbedL3"/>
    <w:next w:val="Normal"/>
    <w:rsid w:val="008C4FC8"/>
    <w:pPr>
      <w:numPr>
        <w:ilvl w:val="3"/>
      </w:numPr>
      <w:outlineLvl w:val="3"/>
    </w:pPr>
  </w:style>
  <w:style w:type="paragraph" w:customStyle="1" w:styleId="TabbedL5">
    <w:name w:val="Tabbed_L5"/>
    <w:basedOn w:val="TabbedL4"/>
    <w:next w:val="Normal"/>
    <w:rsid w:val="008C4FC8"/>
    <w:pPr>
      <w:numPr>
        <w:ilvl w:val="4"/>
      </w:numPr>
      <w:outlineLvl w:val="4"/>
    </w:pPr>
  </w:style>
  <w:style w:type="paragraph" w:customStyle="1" w:styleId="TabbedL6">
    <w:name w:val="Tabbed_L6"/>
    <w:basedOn w:val="TabbedL5"/>
    <w:next w:val="Normal"/>
    <w:rsid w:val="008C4FC8"/>
    <w:pPr>
      <w:numPr>
        <w:ilvl w:val="5"/>
      </w:numPr>
      <w:outlineLvl w:val="5"/>
    </w:pPr>
  </w:style>
  <w:style w:type="paragraph" w:customStyle="1" w:styleId="TabbedL7">
    <w:name w:val="Tabbed_L7"/>
    <w:basedOn w:val="TabbedL6"/>
    <w:next w:val="Normal"/>
    <w:rsid w:val="008C4FC8"/>
    <w:pPr>
      <w:numPr>
        <w:ilvl w:val="6"/>
      </w:numPr>
      <w:outlineLvl w:val="6"/>
    </w:pPr>
  </w:style>
  <w:style w:type="paragraph" w:customStyle="1" w:styleId="TabbedL8">
    <w:name w:val="Tabbed_L8"/>
    <w:basedOn w:val="TabbedL7"/>
    <w:next w:val="Normal"/>
    <w:rsid w:val="008C4FC8"/>
    <w:pPr>
      <w:numPr>
        <w:ilvl w:val="7"/>
      </w:numPr>
      <w:outlineLvl w:val="7"/>
    </w:pPr>
  </w:style>
  <w:style w:type="paragraph" w:customStyle="1" w:styleId="TabbedL9">
    <w:name w:val="Tabbed_L9"/>
    <w:basedOn w:val="TabbedL8"/>
    <w:next w:val="Normal"/>
    <w:rsid w:val="008C4FC8"/>
    <w:pPr>
      <w:numPr>
        <w:ilvl w:val="8"/>
      </w:numPr>
      <w:outlineLvl w:val="8"/>
    </w:pPr>
  </w:style>
  <w:style w:type="paragraph" w:customStyle="1" w:styleId="DocumentTitle">
    <w:name w:val="Document Title"/>
    <w:basedOn w:val="Normal"/>
    <w:next w:val="GvdeMetni"/>
    <w:rsid w:val="008C4FC8"/>
    <w:pPr>
      <w:spacing w:after="480"/>
      <w:jc w:val="center"/>
    </w:pPr>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4936</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ILHANLI/BASER</dc:creator>
  <cp:keywords/>
  <dc:description/>
  <cp:lastModifiedBy>Aslı Özer</cp:lastModifiedBy>
  <cp:revision>2</cp:revision>
  <dcterms:created xsi:type="dcterms:W3CDTF">2021-03-30T07:12:00Z</dcterms:created>
  <dcterms:modified xsi:type="dcterms:W3CDTF">2021-03-30T07:12:00Z</dcterms:modified>
</cp:coreProperties>
</file>